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997" w:type="dxa"/>
        <w:tblInd w:w="0" w:type="dxa"/>
        <w:tblLayout w:type="fixed"/>
        <w:tblCellMar>
          <w:top w:w="15" w:type="dxa"/>
          <w:left w:w="15" w:type="dxa"/>
          <w:bottom w:w="15" w:type="dxa"/>
          <w:right w:w="15" w:type="dxa"/>
        </w:tblCellMar>
      </w:tblPr>
      <w:tblGrid>
        <w:gridCol w:w="283"/>
        <w:gridCol w:w="1277"/>
        <w:gridCol w:w="6427"/>
        <w:gridCol w:w="2008"/>
        <w:gridCol w:w="1787"/>
        <w:gridCol w:w="1725"/>
        <w:gridCol w:w="1490"/>
      </w:tblGrid>
      <w:tr>
        <w:tblPrEx>
          <w:tblLayout w:type="fixed"/>
          <w:tblCellMar>
            <w:top w:w="15" w:type="dxa"/>
            <w:left w:w="15" w:type="dxa"/>
            <w:bottom w:w="15" w:type="dxa"/>
            <w:right w:w="15" w:type="dxa"/>
          </w:tblCellMar>
        </w:tblPrEx>
        <w:trPr>
          <w:trHeight w:val="735" w:hRule="atLeast"/>
        </w:trPr>
        <w:tc>
          <w:tcPr>
            <w:tcW w:w="14997" w:type="dxa"/>
            <w:gridSpan w:val="7"/>
            <w:shd w:val="clear" w:color="auto" w:fill="auto"/>
            <w:vAlign w:val="center"/>
          </w:tcPr>
          <w:p>
            <w:pPr>
              <w:widowControl/>
              <w:spacing w:line="520" w:lineRule="exact"/>
              <w:jc w:val="left"/>
              <w:textAlignment w:val="center"/>
              <w:rPr>
                <w:rFonts w:ascii="方正小标宋简体" w:hAnsi="方正小标宋简体" w:eastAsia="方正小标宋简体" w:cs="方正小标宋简体"/>
                <w:color w:val="000000"/>
                <w:kern w:val="0"/>
                <w:sz w:val="44"/>
                <w:szCs w:val="44"/>
              </w:rPr>
            </w:pPr>
            <w:r>
              <w:rPr>
                <w:rFonts w:hint="eastAsia" w:ascii="仿宋_GB2312" w:hAnsi="方正小标宋简体" w:eastAsia="仿宋_GB2312" w:cs="方正小标宋简体"/>
                <w:color w:val="000000"/>
                <w:kern w:val="0"/>
                <w:sz w:val="32"/>
                <w:szCs w:val="32"/>
              </w:rPr>
              <w:t>附件1：</w:t>
            </w:r>
          </w:p>
          <w:p>
            <w:pPr>
              <w:widowControl/>
              <w:spacing w:line="520" w:lineRule="exact"/>
              <w:jc w:val="center"/>
              <w:textAlignment w:val="center"/>
              <w:rPr>
                <w:rFonts w:ascii="方正小标宋简体" w:hAnsi="方正小标宋简体" w:eastAsia="方正小标宋简体" w:cs="方正小标宋简体"/>
                <w:color w:val="000000"/>
                <w:spacing w:val="-10"/>
                <w:sz w:val="44"/>
                <w:szCs w:val="44"/>
              </w:rPr>
            </w:pPr>
            <w:r>
              <w:rPr>
                <w:rFonts w:hint="eastAsia" w:ascii="方正小标宋简体" w:hAnsi="方正小标宋简体" w:eastAsia="方正小标宋简体" w:cs="方正小标宋简体"/>
                <w:color w:val="000000"/>
                <w:spacing w:val="-10"/>
                <w:kern w:val="0"/>
                <w:sz w:val="44"/>
                <w:szCs w:val="44"/>
              </w:rPr>
              <w:t>桂林漓江风景名胜区管理委员会牵头落实2018年市政府主要目标任务实施方案</w:t>
            </w:r>
          </w:p>
        </w:tc>
      </w:tr>
      <w:tr>
        <w:tblPrEx>
          <w:tblLayout w:type="fixed"/>
          <w:tblCellMar>
            <w:top w:w="15" w:type="dxa"/>
            <w:left w:w="15" w:type="dxa"/>
            <w:bottom w:w="15" w:type="dxa"/>
            <w:right w:w="15" w:type="dxa"/>
          </w:tblCellMar>
        </w:tblPrEx>
        <w:trPr>
          <w:trHeight w:val="690" w:hRule="atLeast"/>
        </w:trPr>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主要目标</w:t>
            </w:r>
          </w:p>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任务</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具体工作内容及措施</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责任人</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分管领导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责任部门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相关责任单位</w:t>
            </w:r>
          </w:p>
        </w:tc>
      </w:tr>
      <w:tr>
        <w:tblPrEx>
          <w:tblLayout w:type="fixed"/>
          <w:tblCellMar>
            <w:top w:w="15" w:type="dxa"/>
            <w:left w:w="15" w:type="dxa"/>
            <w:bottom w:w="15" w:type="dxa"/>
            <w:right w:w="15" w:type="dxa"/>
          </w:tblCellMar>
        </w:tblPrEx>
        <w:trPr>
          <w:trHeight w:val="1376" w:hRule="atLeas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抓好洲岛、漓江两岸环境整治，推进漓江城市段洲岛自然生态公园项目。</w:t>
            </w:r>
          </w:p>
        </w:tc>
        <w:tc>
          <w:tcPr>
            <w:tcW w:w="64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numPr>
                <w:ilvl w:val="0"/>
                <w:numId w:val="1"/>
              </w:numP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加快推进漓江城市段洲岛生态修复和自然生态公园建设，力争年内实现伏龙洲、大洲岛（景观工程）竣工；力争年内实现南洲（景观工程）开工；配合城区政府开展征地拆迁等前期工作，力争年内完成蚂蟥洲生态修复工程项目前期工作。</w:t>
            </w:r>
          </w:p>
        </w:tc>
        <w:tc>
          <w:tcPr>
            <w:tcW w:w="200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柳  茵</w:t>
            </w:r>
            <w:bookmarkStart w:id="0" w:name="_GoBack"/>
            <w:bookmarkEnd w:id="0"/>
          </w:p>
        </w:tc>
        <w:tc>
          <w:tcPr>
            <w:tcW w:w="178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石  明</w:t>
            </w:r>
          </w:p>
        </w:tc>
        <w:tc>
          <w:tcPr>
            <w:tcW w:w="172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漓投公司</w:t>
            </w:r>
          </w:p>
        </w:tc>
        <w:tc>
          <w:tcPr>
            <w:tcW w:w="14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叠彩区、象山区、七星区、市国土资源局、市规划局、市园林局等</w:t>
            </w:r>
          </w:p>
        </w:tc>
      </w:tr>
      <w:tr>
        <w:tblPrEx>
          <w:tblLayout w:type="fixed"/>
          <w:tblCellMar>
            <w:top w:w="15" w:type="dxa"/>
            <w:left w:w="15" w:type="dxa"/>
            <w:bottom w:w="15" w:type="dxa"/>
            <w:right w:w="15" w:type="dxa"/>
          </w:tblCellMar>
        </w:tblPrEx>
        <w:trPr>
          <w:trHeight w:val="358" w:hRule="atLeast"/>
        </w:trPr>
        <w:tc>
          <w:tcPr>
            <w:tcW w:w="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p>
        </w:tc>
        <w:tc>
          <w:tcPr>
            <w:tcW w:w="1277"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p>
        </w:tc>
        <w:tc>
          <w:tcPr>
            <w:tcW w:w="64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 完成漓江城市段绿化美化项目，进一步提升漓江两岸景观环境。</w:t>
            </w:r>
          </w:p>
        </w:tc>
        <w:tc>
          <w:tcPr>
            <w:tcW w:w="2008"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p>
        </w:tc>
        <w:tc>
          <w:tcPr>
            <w:tcW w:w="1787"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p>
        </w:tc>
        <w:tc>
          <w:tcPr>
            <w:tcW w:w="1725"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各相关城区</w:t>
            </w:r>
          </w:p>
        </w:tc>
      </w:tr>
      <w:tr>
        <w:tblPrEx>
          <w:tblLayout w:type="fixed"/>
          <w:tblCellMar>
            <w:top w:w="15" w:type="dxa"/>
            <w:left w:w="15" w:type="dxa"/>
            <w:bottom w:w="15" w:type="dxa"/>
            <w:right w:w="15" w:type="dxa"/>
          </w:tblCellMar>
        </w:tblPrEx>
        <w:trPr>
          <w:trHeight w:val="1195" w:hRule="atLeas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 完成漓江活动壅水科学试验项目建设，开展壅水科学试验，改善漓江城市段枯水期生态环境。按照“一树一亭一景”，提升绿化生态景观。</w:t>
            </w:r>
          </w:p>
        </w:tc>
        <w:tc>
          <w:tcPr>
            <w:tcW w:w="2008"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2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漓江活动壅水科学试验项目指挥部</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象山区、七星区、市水利局、市环保局、市园林局等。</w:t>
            </w:r>
          </w:p>
        </w:tc>
      </w:tr>
      <w:tr>
        <w:tblPrEx>
          <w:tblLayout w:type="fixed"/>
          <w:tblCellMar>
            <w:top w:w="15" w:type="dxa"/>
            <w:left w:w="15" w:type="dxa"/>
            <w:bottom w:w="15" w:type="dxa"/>
            <w:right w:w="15" w:type="dxa"/>
          </w:tblCellMar>
        </w:tblPrEx>
        <w:trPr>
          <w:trHeight w:val="2292" w:hRule="atLeast"/>
        </w:trPr>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加快推进漓江旅游码头提升改造。</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龙船坪旅游码头改造工程项目：建设趸船2艘及浮台1座，使用面积约2000平方米，计划2018年9月完工。</w:t>
            </w:r>
          </w:p>
          <w:p>
            <w:pPr>
              <w:widowControl/>
              <w:numPr>
                <w:ilvl w:val="0"/>
                <w:numId w:val="2"/>
              </w:numPr>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阳朔杨堤亲水平台：建设停船泊位1个，岸线长约60米，按零星工程实施推进，计划2018年4月完工。</w:t>
            </w:r>
          </w:p>
          <w:p>
            <w:pPr>
              <w:widowControl/>
              <w:numPr>
                <w:ilvl w:val="0"/>
                <w:numId w:val="2"/>
              </w:numPr>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叠彩万达亲水平台：建设停船泊位1个，岸线长约60米，按零星工程实施推进，计划2018年10月完工。</w:t>
            </w:r>
          </w:p>
          <w:p>
            <w:pPr>
              <w:widowControl/>
              <w:numPr>
                <w:ilvl w:val="0"/>
                <w:numId w:val="2"/>
              </w:numPr>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磨盘山旅游服务区项目：对码头进行整体提升改造，完善综合配套设施，提升码头休闲旅游品质，计划2018年12月完成前期工作。</w:t>
            </w:r>
          </w:p>
        </w:tc>
        <w:tc>
          <w:tcPr>
            <w:tcW w:w="2008"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ascii="方正仿宋_GBK" w:hAnsi="方正仿宋_GBK" w:eastAsia="方正仿宋_GBK" w:cs="方正仿宋_GBK"/>
                <w:color w:val="000000"/>
                <w:szCs w:val="21"/>
              </w:rPr>
            </w:pPr>
          </w:p>
        </w:tc>
        <w:tc>
          <w:tcPr>
            <w:tcW w:w="1787"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漓投公司</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各相关县区、市国土资源局、市规划局、市旅游发展委、桂林海事局等</w:t>
            </w:r>
          </w:p>
        </w:tc>
      </w:tr>
      <w:tr>
        <w:tblPrEx>
          <w:tblLayout w:type="fixed"/>
          <w:tblCellMar>
            <w:top w:w="15" w:type="dxa"/>
            <w:left w:w="15" w:type="dxa"/>
            <w:bottom w:w="15" w:type="dxa"/>
            <w:right w:w="15" w:type="dxa"/>
          </w:tblCellMar>
        </w:tblPrEx>
        <w:trPr>
          <w:trHeight w:val="2234" w:hRule="atLeast"/>
        </w:trPr>
        <w:tc>
          <w:tcPr>
            <w:tcW w:w="28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127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完成漓江城市段东岸慢行步道建设，加快形成漓江旅游新景观。</w:t>
            </w:r>
          </w:p>
        </w:tc>
        <w:tc>
          <w:tcPr>
            <w:tcW w:w="64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漓江城市段东岸慢行步道一期城中段（虞山桥-漓江桥）：全线总长4.2公里，年内实现项目竣工。</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慢行步道二期乡野段（南洲大桥-虞山桥、漓江桥-净瓶山）：全线总长8.1公里：年内完成前期工作。</w:t>
            </w:r>
          </w:p>
        </w:tc>
        <w:tc>
          <w:tcPr>
            <w:tcW w:w="2008"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七星区、叠彩区、市国土资源局、市规划局、市园林局等</w:t>
            </w:r>
          </w:p>
        </w:tc>
      </w:tr>
      <w:tr>
        <w:tblPrEx>
          <w:tblLayout w:type="fixed"/>
          <w:tblCellMar>
            <w:top w:w="15" w:type="dxa"/>
            <w:left w:w="15" w:type="dxa"/>
            <w:bottom w:w="15" w:type="dxa"/>
            <w:right w:w="15" w:type="dxa"/>
          </w:tblCellMar>
        </w:tblPrEx>
        <w:trPr>
          <w:trHeight w:val="317" w:hRule="atLeast"/>
        </w:trPr>
        <w:tc>
          <w:tcPr>
            <w:tcW w:w="2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序号</w:t>
            </w:r>
          </w:p>
        </w:tc>
        <w:tc>
          <w:tcPr>
            <w:tcW w:w="127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主要目标</w:t>
            </w:r>
          </w:p>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任务</w:t>
            </w:r>
          </w:p>
        </w:tc>
        <w:tc>
          <w:tcPr>
            <w:tcW w:w="642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具体工作内容及措施</w:t>
            </w:r>
          </w:p>
        </w:tc>
        <w:tc>
          <w:tcPr>
            <w:tcW w:w="20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责任人</w:t>
            </w: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分管领导</w:t>
            </w:r>
          </w:p>
        </w:tc>
        <w:tc>
          <w:tcPr>
            <w:tcW w:w="172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责任部门</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相关责任单位</w:t>
            </w:r>
          </w:p>
        </w:tc>
      </w:tr>
      <w:tr>
        <w:tblPrEx>
          <w:tblLayout w:type="fixed"/>
          <w:tblCellMar>
            <w:top w:w="15" w:type="dxa"/>
            <w:left w:w="15" w:type="dxa"/>
            <w:bottom w:w="15" w:type="dxa"/>
            <w:right w:w="15" w:type="dxa"/>
          </w:tblCellMar>
        </w:tblPrEx>
        <w:trPr>
          <w:trHeight w:val="1518" w:hRule="atLeast"/>
        </w:trPr>
        <w:tc>
          <w:tcPr>
            <w:tcW w:w="2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w:t>
            </w:r>
          </w:p>
        </w:tc>
        <w:tc>
          <w:tcPr>
            <w:tcW w:w="127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加快编制漓江风景名胜区详细规划。</w:t>
            </w:r>
          </w:p>
        </w:tc>
        <w:tc>
          <w:tcPr>
            <w:tcW w:w="64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积极争取市政府批准《桂林漓江风景名胜区详细规划（第一期）》编制工作；</w:t>
            </w:r>
          </w:p>
          <w:p>
            <w:pPr>
              <w:widowControl/>
              <w:numPr>
                <w:ilvl w:val="0"/>
                <w:numId w:val="3"/>
              </w:numP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多渠道申请专项资金，开展详规编制的前期调研、研究工作；</w:t>
            </w:r>
          </w:p>
          <w:p>
            <w:pPr>
              <w:widowControl/>
              <w:textAlignment w:val="center"/>
              <w:rPr>
                <w:rFonts w:ascii="方正仿宋_GBK" w:hAnsi="方正仿宋_GBK" w:eastAsia="方正仿宋_GBK" w:cs="方正仿宋_GBK"/>
                <w:color w:val="000000"/>
                <w:kern w:val="0"/>
                <w:szCs w:val="21"/>
                <w:highlight w:val="yellow"/>
              </w:rPr>
            </w:pPr>
            <w:r>
              <w:rPr>
                <w:rFonts w:hint="eastAsia" w:ascii="方正仿宋_GBK" w:hAnsi="方正仿宋_GBK" w:eastAsia="方正仿宋_GBK" w:cs="方正仿宋_GBK"/>
                <w:color w:val="000000"/>
                <w:kern w:val="0"/>
                <w:szCs w:val="21"/>
              </w:rPr>
              <w:t>3. 开展人文与经济条件、设施与基础工程条件、土地与其他等资料的初步收集。</w:t>
            </w:r>
          </w:p>
        </w:tc>
        <w:tc>
          <w:tcPr>
            <w:tcW w:w="2008" w:type="dxa"/>
            <w:vMerge w:val="restart"/>
            <w:tcBorders>
              <w:top w:val="single" w:color="auto" w:sz="4" w:space="0"/>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柳  茵</w:t>
            </w: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秦荣军</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战略发展处</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各相关县区、市规划局、市园林局等</w:t>
            </w:r>
          </w:p>
        </w:tc>
      </w:tr>
      <w:tr>
        <w:tblPrEx>
          <w:tblLayout w:type="fixed"/>
          <w:tblCellMar>
            <w:top w:w="15" w:type="dxa"/>
            <w:left w:w="15" w:type="dxa"/>
            <w:bottom w:w="15" w:type="dxa"/>
            <w:right w:w="15" w:type="dxa"/>
          </w:tblCellMar>
        </w:tblPrEx>
        <w:trPr>
          <w:trHeight w:val="7310" w:hRule="atLeast"/>
        </w:trPr>
        <w:tc>
          <w:tcPr>
            <w:tcW w:w="2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127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继续强化漓江流域生态环境综合整治，强化网格化管理和日常巡查，深入推进 “四乱一脏”专项整治。</w:t>
            </w:r>
          </w:p>
        </w:tc>
        <w:tc>
          <w:tcPr>
            <w:tcW w:w="64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numPr>
                <w:ilvl w:val="0"/>
                <w:numId w:val="4"/>
              </w:numPr>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开展日常巡查、处置工作。对风景区水域、陆域定期巡查并更新一览表。</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2. 深入开展“四乱一脏”专项整治工作。一是按照“每周一小打，每月一中打，每季度一大打”的工作要求，开展漓江干流水域的“四乱一脏”集中专项整治行动；二是督促相关县区落实属地执法监管主体责任，开展风景区陆域的“四乱一脏”整治工作。</w:t>
            </w:r>
          </w:p>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 按照“四办”（发函督办、现场督办、上报督办、问责督办）程序和规定，开展“四乱一脏”督查督办工作。一是对风景区内“四乱一脏”查处不及时、整治不到位、成效不明显的县区进行督查督办，同时督促县区对相关乡镇进行督查督办；二是加强环境卫生督查工作，督促相关城区政府落实河长制要求，加强对漓江城市段各支流卫生保洁，督促各相关县政府、漓江城市段干流保洁单位做好漓江干流保洁工作。</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4.进一步加强对漓江景区旅游秩序的交通执法和旅游执法。做好漓江分时分段游及各码头（停靠点）旅游秩序维护，配合、督促阳朔县政府做好兴坪码头规范提升，强化对龙头山码头、水东门码头、兴坪渔村停靠点及各渡口码头的规范管理。</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5.加强漓江游览排筏规范管理工作。督促、指导相关县区按照“三限”“四化”管理要求，进一步规范排筏管理，严格“错时错峰”，加强巡查督查，与相关部门和县区开展联动协同执法，打击排筏违法违规行为。</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6.办理群众举报工作。按《桂林漓江风景名胜区破坏生态资源和景观环境违法行为举报奖励办法》及时办理群众举报事项。</w:t>
            </w:r>
          </w:p>
          <w:p>
            <w:pPr>
              <w:widowControl/>
              <w:spacing w:line="240" w:lineRule="exact"/>
              <w:jc w:val="left"/>
              <w:textAlignment w:val="center"/>
              <w:rPr>
                <w:rFonts w:ascii="方正仿宋_GBK" w:hAnsi="方正仿宋_GBK" w:eastAsia="方正仿宋_GBK" w:cs="方正仿宋_GBK"/>
                <w:color w:val="000000"/>
                <w:kern w:val="0"/>
                <w:szCs w:val="21"/>
              </w:rPr>
            </w:pPr>
          </w:p>
        </w:tc>
        <w:tc>
          <w:tcPr>
            <w:tcW w:w="2008"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石长进</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黄  兰</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李首群</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朱名武</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李  红</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张  翔</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综合执法支队</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漓江公安分局</w:t>
            </w:r>
          </w:p>
        </w:tc>
        <w:tc>
          <w:tcPr>
            <w:tcW w:w="14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各相关县区、市公安局、市国土资源局、市环保局、市水利局、市林业局、市旅游发展委、市水产畜牧兽医局、市城管委等</w:t>
            </w:r>
          </w:p>
        </w:tc>
      </w:tr>
      <w:tr>
        <w:tblPrEx>
          <w:tblLayout w:type="fixed"/>
          <w:tblCellMar>
            <w:top w:w="15" w:type="dxa"/>
            <w:left w:w="15" w:type="dxa"/>
            <w:bottom w:w="15" w:type="dxa"/>
            <w:right w:w="15" w:type="dxa"/>
          </w:tblCellMar>
        </w:tblPrEx>
        <w:trPr>
          <w:trHeight w:val="368" w:hRule="atLeast"/>
        </w:trPr>
        <w:tc>
          <w:tcPr>
            <w:tcW w:w="28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序号</w:t>
            </w:r>
          </w:p>
        </w:tc>
        <w:tc>
          <w:tcPr>
            <w:tcW w:w="127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主要目标</w:t>
            </w:r>
          </w:p>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任务</w:t>
            </w:r>
          </w:p>
        </w:tc>
        <w:tc>
          <w:tcPr>
            <w:tcW w:w="642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具体工作内容及措施</w:t>
            </w:r>
          </w:p>
        </w:tc>
        <w:tc>
          <w:tcPr>
            <w:tcW w:w="20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责任人</w:t>
            </w: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分管领导</w:t>
            </w:r>
          </w:p>
        </w:tc>
        <w:tc>
          <w:tcPr>
            <w:tcW w:w="172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责任部门</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相关责任单位</w:t>
            </w:r>
          </w:p>
        </w:tc>
      </w:tr>
      <w:tr>
        <w:tblPrEx>
          <w:tblLayout w:type="fixed"/>
          <w:tblCellMar>
            <w:top w:w="15" w:type="dxa"/>
            <w:left w:w="15" w:type="dxa"/>
            <w:bottom w:w="15" w:type="dxa"/>
            <w:right w:w="15" w:type="dxa"/>
          </w:tblCellMar>
        </w:tblPrEx>
        <w:trPr>
          <w:trHeight w:val="3510" w:hRule="atLeast"/>
        </w:trPr>
        <w:tc>
          <w:tcPr>
            <w:tcW w:w="283"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w:t>
            </w:r>
          </w:p>
        </w:tc>
        <w:tc>
          <w:tcPr>
            <w:tcW w:w="1277"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大力推行漓江旅游经营“四分四化”新模式。</w:t>
            </w:r>
          </w:p>
        </w:tc>
        <w:tc>
          <w:tcPr>
            <w:tcW w:w="64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实施漓江“四分”游览：</w:t>
            </w:r>
          </w:p>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（1）开通“阳朔—平乐”分段游，力争年内开通“大圩—磨盘山—草坪—杨堤”、 “一江四岛”游（一期）大洲至伏龙洲等一批分段游。</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（2）加强与桂林航空旅游集团对接，进一步丰富直升飞机空中游览漓江项目。</w:t>
            </w:r>
          </w:p>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加强对叠彩山码头——龙船坪码头、伏龙洲亲水平台——大洲亲水平台、逍遥楼亲水平台、象山渔人码头、灵川大圩码头、磨盘山客运港、雁山草坪码头、阳朔杨堤码头等漓江码头（停靠点）的旅游服务运营管理。</w:t>
            </w:r>
          </w:p>
        </w:tc>
        <w:tc>
          <w:tcPr>
            <w:tcW w:w="2008" w:type="dxa"/>
            <w:vMerge w:val="restart"/>
            <w:tcBorders>
              <w:top w:val="single" w:color="auto" w:sz="4" w:space="0"/>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柳  茵</w:t>
            </w:r>
          </w:p>
        </w:tc>
        <w:tc>
          <w:tcPr>
            <w:tcW w:w="1787"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丘伟雄</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漓投公司</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市场拓展处</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市旅游发展委、市物价局、桂林海事局、桂林航道局、桂林旅游股份有限公司、桂林航空旅游集团、桂林市交通投资控股集团有限公司等</w:t>
            </w:r>
          </w:p>
        </w:tc>
      </w:tr>
      <w:tr>
        <w:tblPrEx>
          <w:tblLayout w:type="fixed"/>
          <w:tblCellMar>
            <w:top w:w="15" w:type="dxa"/>
            <w:left w:w="15" w:type="dxa"/>
            <w:bottom w:w="15" w:type="dxa"/>
            <w:right w:w="15" w:type="dxa"/>
          </w:tblCellMar>
        </w:tblPrEx>
        <w:trPr>
          <w:trHeight w:val="2656" w:hRule="atLeast"/>
        </w:trPr>
        <w:tc>
          <w:tcPr>
            <w:tcW w:w="28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27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实施漓江“四化”管理：</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（1）完成“一键游漓江”平台建设，实现手机智能线路、手机线上购票、移动支付、人脸识别、智能导游、诚信体系等互联网功能，并入“一键游桂林·i游桂林”平台。</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2）推动景区电子商务发展，完善电子商务平台和管理平台升级，为游客提供更便捷服务：完成新版网站上线，对网上票务系统进行升级，开发手机版本销售平台，为游客提供更便捷、快速的购票服务；完成新版微信公众号更新；完成新版商务平台改版上线。</w:t>
            </w:r>
          </w:p>
        </w:tc>
        <w:tc>
          <w:tcPr>
            <w:tcW w:w="2008"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Cs w:val="21"/>
              </w:rPr>
            </w:pPr>
          </w:p>
        </w:tc>
        <w:tc>
          <w:tcPr>
            <w:tcW w:w="1787"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市场拓展处</w:t>
            </w:r>
          </w:p>
        </w:tc>
        <w:tc>
          <w:tcPr>
            <w:tcW w:w="149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市旅游发展委等</w:t>
            </w:r>
          </w:p>
        </w:tc>
      </w:tr>
      <w:tr>
        <w:tblPrEx>
          <w:tblLayout w:type="fixed"/>
          <w:tblCellMar>
            <w:top w:w="15" w:type="dxa"/>
            <w:left w:w="15" w:type="dxa"/>
            <w:bottom w:w="15" w:type="dxa"/>
            <w:right w:w="15" w:type="dxa"/>
          </w:tblCellMar>
        </w:tblPrEx>
        <w:trPr>
          <w:trHeight w:val="1767" w:hRule="atLeast"/>
        </w:trPr>
        <w:tc>
          <w:tcPr>
            <w:tcW w:w="2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27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全力漓江城市段游船提档升级。</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督促漓江城市段游船企业推进城市段星级游船建造工作，全面提升城市段游船品质和服务质量。2018年底前未达星级标准的城市段老旧游船全部退出漓江风景名胜区水上游览经营。</w:t>
            </w:r>
          </w:p>
        </w:tc>
        <w:tc>
          <w:tcPr>
            <w:tcW w:w="2008"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市场拓展处</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港航管理处</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综合执法支队</w:t>
            </w:r>
          </w:p>
        </w:tc>
        <w:tc>
          <w:tcPr>
            <w:tcW w:w="14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桂林海事局、桂林船检局等</w:t>
            </w:r>
          </w:p>
        </w:tc>
      </w:tr>
      <w:tr>
        <w:tblPrEx>
          <w:tblLayout w:type="fixed"/>
          <w:tblCellMar>
            <w:top w:w="15" w:type="dxa"/>
            <w:left w:w="15" w:type="dxa"/>
            <w:bottom w:w="15" w:type="dxa"/>
            <w:right w:w="15" w:type="dxa"/>
          </w:tblCellMar>
        </w:tblPrEx>
        <w:trPr>
          <w:trHeight w:val="1263" w:hRule="atLeast"/>
        </w:trPr>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方正仿宋_GBK" w:hAnsi="方正仿宋_GBK" w:eastAsia="方正仿宋_GBK" w:cs="方正仿宋_GBK"/>
                <w:b/>
                <w:color w:val="000000"/>
                <w:kern w:val="0"/>
                <w:szCs w:val="21"/>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主要目标</w:t>
            </w:r>
          </w:p>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color w:val="000000"/>
                <w:kern w:val="0"/>
                <w:szCs w:val="21"/>
              </w:rPr>
              <w:t>任务</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color w:val="000000"/>
                <w:kern w:val="0"/>
                <w:szCs w:val="21"/>
              </w:rPr>
              <w:t>具体工作内容及措施</w:t>
            </w:r>
          </w:p>
        </w:tc>
        <w:tc>
          <w:tcPr>
            <w:tcW w:w="20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责任人</w:t>
            </w: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分管领导</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color w:val="000000"/>
                <w:kern w:val="0"/>
                <w:szCs w:val="21"/>
              </w:rPr>
              <w:t>漓管委</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责任部门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color w:val="000000"/>
                <w:kern w:val="0"/>
                <w:szCs w:val="21"/>
              </w:rPr>
              <w:t>相关责任单位</w:t>
            </w:r>
          </w:p>
        </w:tc>
      </w:tr>
      <w:tr>
        <w:tblPrEx>
          <w:tblLayout w:type="fixed"/>
          <w:tblCellMar>
            <w:top w:w="15" w:type="dxa"/>
            <w:left w:w="15" w:type="dxa"/>
            <w:bottom w:w="15" w:type="dxa"/>
            <w:right w:w="15" w:type="dxa"/>
          </w:tblCellMar>
        </w:tblPrEx>
        <w:trPr>
          <w:trHeight w:val="1083" w:hRule="atLeast"/>
        </w:trPr>
        <w:tc>
          <w:tcPr>
            <w:tcW w:w="28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277"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仿宋_GB2312" w:hAnsi="仿宋_GB2312" w:eastAsia="仿宋_GB2312" w:cs="仿宋_GB2312"/>
                <w:color w:val="000000"/>
                <w:kern w:val="0"/>
                <w:szCs w:val="21"/>
              </w:rPr>
              <w:t>继续推进漓江“三统”改革。</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Times New Roman" w:hAnsi="Times New Roman" w:eastAsia="仿宋_GB2312" w:cs="宋体"/>
                <w:kern w:val="0"/>
                <w:szCs w:val="21"/>
              </w:rPr>
              <w:t>加快《漓江风景名胜区条例》立法工作，完成《漓江风景名胜区条例》起草，按程序上报。</w:t>
            </w:r>
          </w:p>
        </w:tc>
        <w:tc>
          <w:tcPr>
            <w:tcW w:w="2008" w:type="dxa"/>
            <w:vMerge w:val="restart"/>
            <w:tcBorders>
              <w:top w:val="single" w:color="auto" w:sz="4" w:space="0"/>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柳  茵</w:t>
            </w: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石长进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委党政办法制科</w:t>
            </w:r>
          </w:p>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综合执法支队</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市法制办等</w:t>
            </w:r>
          </w:p>
        </w:tc>
      </w:tr>
      <w:tr>
        <w:tblPrEx>
          <w:tblLayout w:type="fixed"/>
          <w:tblCellMar>
            <w:top w:w="15" w:type="dxa"/>
            <w:left w:w="15" w:type="dxa"/>
            <w:bottom w:w="15" w:type="dxa"/>
            <w:right w:w="15" w:type="dxa"/>
          </w:tblCellMar>
        </w:tblPrEx>
        <w:trPr>
          <w:trHeight w:val="1377" w:hRule="atLeast"/>
        </w:trPr>
        <w:tc>
          <w:tcPr>
            <w:tcW w:w="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p>
        </w:tc>
        <w:tc>
          <w:tcPr>
            <w:tcW w:w="1277"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Times New Roman" w:hAnsi="Times New Roman" w:eastAsia="仿宋_GB2312" w:cs="宋体"/>
                <w:kern w:val="0"/>
                <w:szCs w:val="21"/>
              </w:rPr>
              <w:t>推动出台《桂林漓江风景名胜区水上游览项目经营权管理办法》，并制定相关实施细则，对漓江风景名胜区水上游览依法实行经营权管理，强化对风景名胜资源的管控，建立准入、退出管理办法和监督管理工作机制，依法收取风景名胜资源有偿使用费。</w:t>
            </w:r>
          </w:p>
        </w:tc>
        <w:tc>
          <w:tcPr>
            <w:tcW w:w="2008"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丘伟雄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市场拓展处</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市财政局等</w:t>
            </w:r>
          </w:p>
        </w:tc>
      </w:tr>
      <w:tr>
        <w:tblPrEx>
          <w:tblLayout w:type="fixed"/>
          <w:tblCellMar>
            <w:top w:w="15" w:type="dxa"/>
            <w:left w:w="15" w:type="dxa"/>
            <w:bottom w:w="15" w:type="dxa"/>
            <w:right w:w="15" w:type="dxa"/>
          </w:tblCellMar>
        </w:tblPrEx>
        <w:trPr>
          <w:trHeight w:val="331" w:hRule="atLeast"/>
        </w:trPr>
        <w:tc>
          <w:tcPr>
            <w:tcW w:w="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p>
        </w:tc>
        <w:tc>
          <w:tcPr>
            <w:tcW w:w="1277"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p>
        </w:tc>
        <w:tc>
          <w:tcPr>
            <w:tcW w:w="64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Times New Roman" w:hAnsi="Times New Roman" w:eastAsia="仿宋_GB2312" w:cs="宋体"/>
                <w:kern w:val="0"/>
                <w:szCs w:val="21"/>
              </w:rPr>
              <w:t>按照市委、市政府对市级旅游资源整合的工作要求，分步实施，强力推进漓江精华段水上游览经营整合成3至5家。</w:t>
            </w:r>
          </w:p>
        </w:tc>
        <w:tc>
          <w:tcPr>
            <w:tcW w:w="2008"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丘伟雄</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市场拓展处</w:t>
            </w:r>
          </w:p>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港航管理处</w:t>
            </w:r>
          </w:p>
        </w:tc>
        <w:tc>
          <w:tcPr>
            <w:tcW w:w="14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桂林海事局、桂林船检局、桂林旅游股份有限公司、桂林旅游发展总公司等</w:t>
            </w:r>
          </w:p>
        </w:tc>
      </w:tr>
      <w:tr>
        <w:tblPrEx>
          <w:tblLayout w:type="fixed"/>
          <w:tblCellMar>
            <w:top w:w="15" w:type="dxa"/>
            <w:left w:w="15" w:type="dxa"/>
            <w:bottom w:w="15" w:type="dxa"/>
            <w:right w:w="15" w:type="dxa"/>
          </w:tblCellMar>
        </w:tblPrEx>
        <w:trPr>
          <w:trHeight w:val="1045" w:hRule="atLeast"/>
        </w:trPr>
        <w:tc>
          <w:tcPr>
            <w:tcW w:w="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p>
        </w:tc>
        <w:tc>
          <w:tcPr>
            <w:tcW w:w="1277"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p>
        </w:tc>
        <w:tc>
          <w:tcPr>
            <w:tcW w:w="64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宋体"/>
                <w:kern w:val="0"/>
                <w:szCs w:val="21"/>
              </w:rPr>
            </w:pPr>
            <w:r>
              <w:rPr>
                <w:rFonts w:hint="eastAsia" w:ascii="Times New Roman" w:hAnsi="Times New Roman" w:eastAsia="仿宋_GB2312" w:cs="宋体"/>
                <w:kern w:val="0"/>
                <w:szCs w:val="21"/>
              </w:rPr>
              <w:t>进一步强化漓投公司的投融资功能，通过市场化运作，筹集资金加快推进漓江景区基础设施和旅游服务设施提升改造及景区景点运营。</w:t>
            </w:r>
          </w:p>
        </w:tc>
        <w:tc>
          <w:tcPr>
            <w:tcW w:w="2008"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石  明</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漓投公司</w:t>
            </w:r>
          </w:p>
        </w:tc>
        <w:tc>
          <w:tcPr>
            <w:tcW w:w="14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市发展改革委、市财政局、市金融办等</w:t>
            </w:r>
          </w:p>
        </w:tc>
      </w:tr>
      <w:tr>
        <w:tblPrEx>
          <w:tblLayout w:type="fixed"/>
          <w:tblCellMar>
            <w:top w:w="15" w:type="dxa"/>
            <w:left w:w="15" w:type="dxa"/>
            <w:bottom w:w="15" w:type="dxa"/>
            <w:right w:w="15" w:type="dxa"/>
          </w:tblCellMar>
        </w:tblPrEx>
        <w:trPr>
          <w:trHeight w:val="1203" w:hRule="atLeast"/>
        </w:trPr>
        <w:tc>
          <w:tcPr>
            <w:tcW w:w="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p>
        </w:tc>
        <w:tc>
          <w:tcPr>
            <w:tcW w:w="1277"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Times New Roman" w:hAnsi="Times New Roman" w:eastAsia="仿宋_GB2312" w:cs="宋体"/>
                <w:kern w:val="0"/>
                <w:szCs w:val="21"/>
              </w:rPr>
              <w:t>进一步完善漓江风景名胜区管理机构的行政管理框架，优化行政管理职能，积极争取对漓江风景名胜区工委管委主要职责、机构设置和人员编制进行调整完善。</w:t>
            </w:r>
          </w:p>
        </w:tc>
        <w:tc>
          <w:tcPr>
            <w:tcW w:w="2008" w:type="dxa"/>
            <w:vMerge w:val="continue"/>
            <w:tcBorders>
              <w:left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吴  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委党政办人事计财科</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市编办等</w:t>
            </w:r>
          </w:p>
        </w:tc>
      </w:tr>
      <w:tr>
        <w:tblPrEx>
          <w:tblLayout w:type="fixed"/>
          <w:tblCellMar>
            <w:top w:w="15" w:type="dxa"/>
            <w:left w:w="15" w:type="dxa"/>
            <w:bottom w:w="15" w:type="dxa"/>
            <w:right w:w="15" w:type="dxa"/>
          </w:tblCellMar>
        </w:tblPrEx>
        <w:trPr>
          <w:trHeight w:val="954" w:hRule="atLeast"/>
        </w:trPr>
        <w:tc>
          <w:tcPr>
            <w:tcW w:w="28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p>
        </w:tc>
        <w:tc>
          <w:tcPr>
            <w:tcW w:w="1277"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Times New Roman" w:hAnsi="Times New Roman" w:eastAsia="仿宋_GB2312" w:cs="宋体"/>
                <w:kern w:val="0"/>
                <w:szCs w:val="21"/>
              </w:rPr>
              <w:t>推进漓江风景名胜区财政核算体制改革，实现漓江保护利用管理财政资金制度化供给。</w:t>
            </w:r>
          </w:p>
        </w:tc>
        <w:tc>
          <w:tcPr>
            <w:tcW w:w="2008"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p>
        </w:tc>
        <w:tc>
          <w:tcPr>
            <w:tcW w:w="17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吴  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委党政办人事计财科</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市财政局等</w:t>
            </w:r>
          </w:p>
        </w:tc>
      </w:tr>
    </w:tbl>
    <w:p>
      <w:pPr>
        <w:spacing w:line="360" w:lineRule="exact"/>
        <w:jc w:val="left"/>
        <w:rPr>
          <w:rFonts w:ascii="方正仿宋_GBK" w:hAnsi="方正仿宋_GBK" w:eastAsia="方正仿宋_GBK" w:cs="方正仿宋_GBK"/>
          <w:b/>
          <w:szCs w:val="21"/>
        </w:rPr>
      </w:pPr>
      <w:r>
        <w:rPr>
          <w:rFonts w:hint="eastAsia" w:ascii="方正仿宋_GBK" w:hAnsi="方正仿宋_GBK" w:eastAsia="方正仿宋_GBK" w:cs="方正仿宋_GBK"/>
          <w:b/>
          <w:szCs w:val="21"/>
        </w:rPr>
        <w:t>注：1.督办负责人：吴勇。</w:t>
      </w:r>
    </w:p>
    <w:p>
      <w:pPr>
        <w:spacing w:line="360" w:lineRule="exact"/>
        <w:jc w:val="left"/>
        <w:rPr>
          <w:rFonts w:ascii="仿宋_GB2312" w:hAnsi="仿宋_GB2312" w:eastAsia="仿宋_GB2312" w:cs="仿宋_GB2312"/>
          <w:sz w:val="32"/>
          <w:szCs w:val="32"/>
        </w:rPr>
      </w:pPr>
      <w:r>
        <w:rPr>
          <w:rFonts w:hint="eastAsia" w:ascii="方正仿宋_GBK" w:hAnsi="方正仿宋_GBK" w:eastAsia="方正仿宋_GBK" w:cs="方正仿宋_GBK"/>
          <w:b/>
          <w:szCs w:val="21"/>
        </w:rPr>
        <w:t xml:space="preserve">    2.</w:t>
      </w:r>
      <w:r>
        <w:rPr>
          <w:rFonts w:hint="eastAsia" w:ascii="方正仿宋_GBK" w:hAnsi="方正仿宋_GBK" w:eastAsia="方正仿宋_GBK" w:cs="方正仿宋_GBK"/>
          <w:b/>
          <w:color w:val="000000"/>
          <w:szCs w:val="21"/>
        </w:rPr>
        <w:t>各责任单位、部门按时报送有关材料至漓江风景名胜区工委管委办公室文电科（电话：3196113）：（1）按季度于2018年6月30日、9月30日前上报本季度目标任务落实情况小结；（2）2018年12月30日前上报本年度目标任务完成情况总结。</w:t>
      </w:r>
    </w:p>
    <w:sectPr>
      <w:pgSz w:w="16838" w:h="11906" w:orient="landscape"/>
      <w:pgMar w:top="1134" w:right="850" w:bottom="85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DD0920"/>
    <w:multiLevelType w:val="singleLevel"/>
    <w:tmpl w:val="B3DD0920"/>
    <w:lvl w:ilvl="0" w:tentative="0">
      <w:start w:val="1"/>
      <w:numFmt w:val="decimal"/>
      <w:lvlText w:val="%1."/>
      <w:lvlJc w:val="left"/>
      <w:pPr>
        <w:tabs>
          <w:tab w:val="left" w:pos="312"/>
        </w:tabs>
      </w:pPr>
    </w:lvl>
  </w:abstractNum>
  <w:abstractNum w:abstractNumId="1">
    <w:nsid w:val="D1C859E2"/>
    <w:multiLevelType w:val="singleLevel"/>
    <w:tmpl w:val="D1C859E2"/>
    <w:lvl w:ilvl="0" w:tentative="0">
      <w:start w:val="1"/>
      <w:numFmt w:val="decimal"/>
      <w:lvlText w:val="%1."/>
      <w:lvlJc w:val="left"/>
      <w:pPr>
        <w:tabs>
          <w:tab w:val="left" w:pos="312"/>
        </w:tabs>
      </w:pPr>
    </w:lvl>
  </w:abstractNum>
  <w:abstractNum w:abstractNumId="2">
    <w:nsid w:val="EC5E5522"/>
    <w:multiLevelType w:val="singleLevel"/>
    <w:tmpl w:val="EC5E5522"/>
    <w:lvl w:ilvl="0" w:tentative="0">
      <w:start w:val="1"/>
      <w:numFmt w:val="decimal"/>
      <w:suff w:val="space"/>
      <w:lvlText w:val="%1."/>
      <w:lvlJc w:val="left"/>
    </w:lvl>
  </w:abstractNum>
  <w:abstractNum w:abstractNumId="3">
    <w:nsid w:val="FE6A3F1C"/>
    <w:multiLevelType w:val="singleLevel"/>
    <w:tmpl w:val="FE6A3F1C"/>
    <w:lvl w:ilvl="0" w:tentative="0">
      <w:start w:val="1"/>
      <w:numFmt w:val="decimal"/>
      <w:suff w:val="space"/>
      <w:lvlText w:val="%1."/>
      <w:lvlJc w:val="left"/>
    </w:lvl>
  </w:abstractNum>
  <w:abstractNum w:abstractNumId="4">
    <w:nsid w:val="28340C76"/>
    <w:multiLevelType w:val="singleLevel"/>
    <w:tmpl w:val="28340C76"/>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8B2350"/>
    <w:rsid w:val="00060A78"/>
    <w:rsid w:val="000D394F"/>
    <w:rsid w:val="00171685"/>
    <w:rsid w:val="001B15F3"/>
    <w:rsid w:val="0025039F"/>
    <w:rsid w:val="00271B13"/>
    <w:rsid w:val="002F5AC8"/>
    <w:rsid w:val="003776E4"/>
    <w:rsid w:val="00405900"/>
    <w:rsid w:val="00580BE9"/>
    <w:rsid w:val="00595746"/>
    <w:rsid w:val="005C477F"/>
    <w:rsid w:val="00610EAA"/>
    <w:rsid w:val="006556E3"/>
    <w:rsid w:val="006C14CA"/>
    <w:rsid w:val="009210E3"/>
    <w:rsid w:val="009210F8"/>
    <w:rsid w:val="00AE25EA"/>
    <w:rsid w:val="00B37E75"/>
    <w:rsid w:val="00B72522"/>
    <w:rsid w:val="00BC05AD"/>
    <w:rsid w:val="00C9688B"/>
    <w:rsid w:val="00D319BA"/>
    <w:rsid w:val="00D51C9F"/>
    <w:rsid w:val="00DC2D22"/>
    <w:rsid w:val="00F3705D"/>
    <w:rsid w:val="00FE33E6"/>
    <w:rsid w:val="00FF68EF"/>
    <w:rsid w:val="0B1905E0"/>
    <w:rsid w:val="0B627507"/>
    <w:rsid w:val="0FA03EA3"/>
    <w:rsid w:val="131C2A11"/>
    <w:rsid w:val="187B14DB"/>
    <w:rsid w:val="18F25240"/>
    <w:rsid w:val="1BE07111"/>
    <w:rsid w:val="25CC1170"/>
    <w:rsid w:val="322A3B9A"/>
    <w:rsid w:val="348106E1"/>
    <w:rsid w:val="3B6E0974"/>
    <w:rsid w:val="43640ED1"/>
    <w:rsid w:val="463B202B"/>
    <w:rsid w:val="5B064F04"/>
    <w:rsid w:val="5BE415B6"/>
    <w:rsid w:val="5BED7F43"/>
    <w:rsid w:val="5D7D3B2E"/>
    <w:rsid w:val="5F285520"/>
    <w:rsid w:val="62147EC8"/>
    <w:rsid w:val="66A36F6C"/>
    <w:rsid w:val="6D53240B"/>
    <w:rsid w:val="6D535020"/>
    <w:rsid w:val="6E1F2921"/>
    <w:rsid w:val="6FB85E96"/>
    <w:rsid w:val="7C8B2350"/>
    <w:rsid w:val="7E866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509</Words>
  <Characters>2904</Characters>
  <Lines>24</Lines>
  <Paragraphs>6</Paragraphs>
  <TotalTime>0</TotalTime>
  <ScaleCrop>false</ScaleCrop>
  <LinksUpToDate>false</LinksUpToDate>
  <CharactersWithSpaces>3407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2018-04-09T02:16:00Z</dcterms:created>
  <dc:creator>Administrator</dc:creator>
  <cp:lastModifiedBy>Administrator</cp:lastModifiedBy>
  <cp:lastPrinted>2018-04-15T07:08:00Z</cp:lastPrinted>
  <dcterms:modified xsi:type="dcterms:W3CDTF">2018-06-11T09:31:00Z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